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E646" w14:textId="77777777" w:rsidR="005851F0" w:rsidRDefault="000A2F96" w:rsidP="005851F0">
      <w:pPr>
        <w:pStyle w:val="Default"/>
      </w:pPr>
      <w:bookmarkStart w:id="0" w:name="_GoBack"/>
      <w:bookmarkEnd w:id="0"/>
      <w:r>
        <w:rPr>
          <w:rFonts w:eastAsia="Calibri"/>
        </w:rPr>
        <w:t xml:space="preserve"> </w:t>
      </w:r>
    </w:p>
    <w:p w14:paraId="244236A6" w14:textId="77777777" w:rsidR="003E414A" w:rsidRDefault="003E414A" w:rsidP="003E4214">
      <w:pPr>
        <w:pStyle w:val="Default"/>
        <w:jc w:val="center"/>
        <w:rPr>
          <w:sz w:val="36"/>
          <w:szCs w:val="36"/>
        </w:rPr>
      </w:pPr>
    </w:p>
    <w:p w14:paraId="313F7317" w14:textId="77777777" w:rsidR="003E414A" w:rsidRDefault="003E414A" w:rsidP="003E4214">
      <w:pPr>
        <w:pStyle w:val="Default"/>
        <w:jc w:val="center"/>
        <w:rPr>
          <w:sz w:val="36"/>
          <w:szCs w:val="36"/>
        </w:rPr>
      </w:pPr>
    </w:p>
    <w:p w14:paraId="29247C3E" w14:textId="77777777" w:rsidR="003E414A" w:rsidRDefault="003E414A" w:rsidP="003E4214">
      <w:pPr>
        <w:pStyle w:val="Default"/>
        <w:jc w:val="center"/>
        <w:rPr>
          <w:sz w:val="36"/>
          <w:szCs w:val="36"/>
        </w:rPr>
      </w:pPr>
    </w:p>
    <w:p w14:paraId="787941F3" w14:textId="77777777" w:rsidR="003E414A" w:rsidRDefault="003E414A" w:rsidP="003E4214">
      <w:pPr>
        <w:pStyle w:val="Default"/>
        <w:jc w:val="center"/>
        <w:rPr>
          <w:sz w:val="36"/>
          <w:szCs w:val="36"/>
        </w:rPr>
      </w:pPr>
    </w:p>
    <w:p w14:paraId="6E923952" w14:textId="77777777" w:rsidR="003E414A" w:rsidRDefault="003E414A" w:rsidP="003E4214">
      <w:pPr>
        <w:pStyle w:val="Default"/>
        <w:jc w:val="center"/>
        <w:rPr>
          <w:sz w:val="36"/>
          <w:szCs w:val="36"/>
        </w:rPr>
      </w:pPr>
    </w:p>
    <w:p w14:paraId="1E6CEC17" w14:textId="5EE411F8" w:rsidR="005851F0" w:rsidRPr="005851F0" w:rsidRDefault="00DD2D9E" w:rsidP="003E4214">
      <w:pPr>
        <w:pStyle w:val="Default"/>
        <w:jc w:val="center"/>
        <w:rPr>
          <w:sz w:val="32"/>
          <w:szCs w:val="32"/>
        </w:rPr>
      </w:pPr>
      <w:r>
        <w:rPr>
          <w:sz w:val="36"/>
          <w:szCs w:val="36"/>
        </w:rPr>
        <w:t>S</w:t>
      </w:r>
      <w:r w:rsidR="00396C2D" w:rsidRPr="003E4214">
        <w:rPr>
          <w:sz w:val="36"/>
          <w:szCs w:val="36"/>
        </w:rPr>
        <w:t xml:space="preserve">ubmission to the </w:t>
      </w:r>
      <w:r w:rsidR="005851F0" w:rsidRPr="003E4214">
        <w:rPr>
          <w:sz w:val="36"/>
          <w:szCs w:val="36"/>
        </w:rPr>
        <w:t>Legal and Constitutional Affairs Legislation Committee Inquiry into the Family Law Amendment Bill 2023</w:t>
      </w:r>
    </w:p>
    <w:p w14:paraId="2206685B" w14:textId="53A9EDF8" w:rsidR="00081B43" w:rsidRPr="00DD2D9E" w:rsidRDefault="005851F0" w:rsidP="00DD2D9E">
      <w:pPr>
        <w:jc w:val="center"/>
        <w:rPr>
          <w:rFonts w:ascii="Calibri" w:eastAsia="Calibri" w:hAnsi="Calibri" w:cs="Calibri"/>
          <w:sz w:val="28"/>
          <w:szCs w:val="28"/>
        </w:rPr>
      </w:pPr>
      <w:r w:rsidRPr="00DD2D9E">
        <w:rPr>
          <w:sz w:val="28"/>
          <w:szCs w:val="28"/>
        </w:rPr>
        <w:t>23 June 2023</w:t>
      </w:r>
    </w:p>
    <w:p w14:paraId="5036B443" w14:textId="77777777" w:rsidR="002104DD" w:rsidRDefault="002104DD" w:rsidP="002104DD">
      <w:pPr>
        <w:autoSpaceDE w:val="0"/>
        <w:autoSpaceDN w:val="0"/>
        <w:adjustRightInd w:val="0"/>
        <w:rPr>
          <w:rFonts w:cstheme="minorHAnsi"/>
          <w:b/>
          <w:bCs/>
          <w:lang w:val="en-AU"/>
        </w:rPr>
      </w:pPr>
    </w:p>
    <w:p w14:paraId="02DD1556" w14:textId="76EE0F22" w:rsidR="002104DD" w:rsidRPr="00B804A9" w:rsidRDefault="002104DD" w:rsidP="002104DD">
      <w:pPr>
        <w:autoSpaceDE w:val="0"/>
        <w:autoSpaceDN w:val="0"/>
        <w:adjustRightInd w:val="0"/>
        <w:jc w:val="center"/>
        <w:rPr>
          <w:rFonts w:cstheme="minorHAnsi"/>
          <w:b/>
          <w:bCs/>
          <w:sz w:val="28"/>
          <w:szCs w:val="28"/>
          <w:lang w:val="en-AU"/>
        </w:rPr>
      </w:pPr>
      <w:r w:rsidRPr="00B804A9">
        <w:rPr>
          <w:rFonts w:cstheme="minorHAnsi"/>
          <w:b/>
          <w:bCs/>
          <w:color w:val="582C77"/>
          <w:sz w:val="28"/>
          <w:szCs w:val="28"/>
          <w:lang w:val="en-AU"/>
        </w:rPr>
        <w:t>Hague Mothers</w:t>
      </w:r>
    </w:p>
    <w:p w14:paraId="76882356" w14:textId="77777777" w:rsidR="002104DD" w:rsidRDefault="002104DD" w:rsidP="002104DD">
      <w:pPr>
        <w:rPr>
          <w:rFonts w:cstheme="minorHAnsi"/>
        </w:rPr>
      </w:pPr>
    </w:p>
    <w:p w14:paraId="7762B928" w14:textId="77777777" w:rsidR="002104DD" w:rsidRPr="00FA5BF8" w:rsidRDefault="002104DD" w:rsidP="002104DD">
      <w:pPr>
        <w:pStyle w:val="NormalWeb"/>
        <w:spacing w:beforeAutospacing="0" w:after="120" w:afterAutospacing="0" w:line="276" w:lineRule="auto"/>
        <w:rPr>
          <w:rFonts w:asciiTheme="minorHAnsi" w:hAnsiTheme="minorHAnsi" w:cstheme="minorHAnsi"/>
          <w:b/>
          <w:bCs/>
          <w:sz w:val="22"/>
          <w:szCs w:val="22"/>
        </w:rPr>
      </w:pPr>
      <w:r w:rsidRPr="00FA5BF8">
        <w:rPr>
          <w:rFonts w:asciiTheme="minorHAnsi" w:hAnsiTheme="minorHAnsi" w:cstheme="minorHAnsi"/>
          <w:b/>
          <w:bCs/>
          <w:sz w:val="22"/>
          <w:szCs w:val="22"/>
        </w:rPr>
        <w:t>This submission is made on behalf of Hague Mothers</w:t>
      </w:r>
      <w:r w:rsidRPr="00FA5BF8">
        <w:rPr>
          <w:rStyle w:val="FootnoteReference"/>
          <w:rFonts w:asciiTheme="minorHAnsi" w:hAnsiTheme="minorHAnsi" w:cstheme="minorHAnsi"/>
          <w:b/>
          <w:bCs/>
          <w:sz w:val="22"/>
          <w:szCs w:val="22"/>
        </w:rPr>
        <w:footnoteReference w:id="1"/>
      </w:r>
      <w:r w:rsidRPr="00FA5BF8">
        <w:rPr>
          <w:rFonts w:asciiTheme="minorHAnsi" w:hAnsiTheme="minorHAnsi" w:cstheme="minorHAnsi"/>
          <w:b/>
          <w:bCs/>
          <w:sz w:val="22"/>
          <w:szCs w:val="22"/>
        </w:rPr>
        <w:t>, an international project supported by the feminist charity FiLiA.  The legal steering groups of Hague Mothers are led by Miranda Kaye (UTS Australia), Adrienne Barnett (Brunel University UK) and Sudha Shetty (University of Berkeley, US) and Merle Weiner (University of Oregon, US). The overarching aim of the project is to end the injustices created by the Hague Abduction Convention 1980, specifically for mothers and children who are fleeing abusive relationships. Our initial focus in on Australia and New Zealand, the UK and the US.</w:t>
      </w:r>
    </w:p>
    <w:p w14:paraId="21663336" w14:textId="7BC708F2" w:rsidR="002104DD" w:rsidRPr="00FA5BF8" w:rsidRDefault="002104DD" w:rsidP="002104DD">
      <w:pPr>
        <w:spacing w:before="100" w:beforeAutospacing="1" w:after="100" w:afterAutospacing="1"/>
        <w:rPr>
          <w:rFonts w:asciiTheme="minorHAnsi" w:hAnsiTheme="minorHAnsi" w:cstheme="minorHAnsi"/>
        </w:rPr>
      </w:pPr>
      <w:r w:rsidRPr="00FA5BF8">
        <w:rPr>
          <w:rFonts w:asciiTheme="minorHAnsi" w:hAnsiTheme="minorHAnsi" w:cstheme="minorHAnsi"/>
        </w:rPr>
        <w:t>This submission only comments on aspects of the Family Law Amendment Bill 2023 which impact upon</w:t>
      </w:r>
      <w:r w:rsidR="00AD6CE2" w:rsidRPr="00AD6CE2">
        <w:rPr>
          <w:rFonts w:asciiTheme="minorHAnsi" w:hAnsiTheme="minorHAnsi" w:cstheme="minorHAnsi"/>
          <w:b/>
          <w:bCs/>
          <w:i/>
          <w:iCs/>
        </w:rPr>
        <w:t xml:space="preserve"> </w:t>
      </w:r>
      <w:r w:rsidR="00AD6CE2" w:rsidRPr="00FA5BF8">
        <w:rPr>
          <w:rFonts w:asciiTheme="minorHAnsi" w:hAnsiTheme="minorHAnsi" w:cstheme="minorHAnsi"/>
          <w:b/>
          <w:bCs/>
          <w:i/>
          <w:iCs/>
        </w:rPr>
        <w:t>Convention o</w:t>
      </w:r>
      <w:r w:rsidR="006B4EC8">
        <w:rPr>
          <w:rFonts w:asciiTheme="minorHAnsi" w:hAnsiTheme="minorHAnsi" w:cstheme="minorHAnsi"/>
          <w:b/>
          <w:bCs/>
          <w:i/>
          <w:iCs/>
        </w:rPr>
        <w:t>n</w:t>
      </w:r>
      <w:r w:rsidR="00AD6CE2" w:rsidRPr="00FA5BF8">
        <w:rPr>
          <w:rFonts w:asciiTheme="minorHAnsi" w:hAnsiTheme="minorHAnsi" w:cstheme="minorHAnsi"/>
          <w:b/>
          <w:bCs/>
          <w:i/>
          <w:iCs/>
        </w:rPr>
        <w:t xml:space="preserve"> the Civil Aspects of International Child Abduction</w:t>
      </w:r>
      <w:r w:rsidR="00AD6CE2">
        <w:rPr>
          <w:rFonts w:asciiTheme="minorHAnsi" w:hAnsiTheme="minorHAnsi" w:cstheme="minorHAnsi"/>
          <w:b/>
          <w:bCs/>
          <w:i/>
          <w:iCs/>
        </w:rPr>
        <w:t xml:space="preserve"> (HAC</w:t>
      </w:r>
      <w:r w:rsidR="006B4EC8">
        <w:rPr>
          <w:rFonts w:asciiTheme="minorHAnsi" w:hAnsiTheme="minorHAnsi" w:cstheme="minorHAnsi"/>
          <w:b/>
          <w:bCs/>
          <w:i/>
          <w:iCs/>
        </w:rPr>
        <w:t>)</w:t>
      </w:r>
      <w:r w:rsidRPr="00FA5BF8">
        <w:rPr>
          <w:rFonts w:asciiTheme="minorHAnsi" w:hAnsiTheme="minorHAnsi" w:cstheme="minorHAnsi"/>
        </w:rPr>
        <w:t xml:space="preserve"> matters.</w:t>
      </w:r>
    </w:p>
    <w:p w14:paraId="68C765DF" w14:textId="39675173" w:rsidR="002104DD" w:rsidRPr="00FA5BF8" w:rsidRDefault="002104DD" w:rsidP="002104DD">
      <w:pPr>
        <w:spacing w:before="100" w:beforeAutospacing="1" w:after="100" w:afterAutospacing="1"/>
        <w:rPr>
          <w:rFonts w:asciiTheme="minorHAnsi" w:hAnsiTheme="minorHAnsi" w:cstheme="minorHAnsi"/>
          <w:b/>
          <w:bCs/>
          <w:i/>
          <w:iCs/>
        </w:rPr>
      </w:pPr>
      <w:r w:rsidRPr="00FA5BF8">
        <w:rPr>
          <w:rFonts w:asciiTheme="minorHAnsi" w:hAnsiTheme="minorHAnsi" w:cstheme="minorHAnsi"/>
          <w:b/>
          <w:bCs/>
        </w:rPr>
        <w:t xml:space="preserve">In that respect we </w:t>
      </w:r>
      <w:r w:rsidR="006B4EC8">
        <w:rPr>
          <w:rFonts w:asciiTheme="minorHAnsi" w:hAnsiTheme="minorHAnsi" w:cstheme="minorHAnsi"/>
          <w:b/>
          <w:bCs/>
        </w:rPr>
        <w:t xml:space="preserve">welcome and </w:t>
      </w:r>
      <w:r w:rsidRPr="00FA5BF8">
        <w:rPr>
          <w:rFonts w:asciiTheme="minorHAnsi" w:hAnsiTheme="minorHAnsi" w:cstheme="minorHAnsi"/>
          <w:b/>
          <w:bCs/>
        </w:rPr>
        <w:t xml:space="preserve">support the suggested changes in Schedule 4, </w:t>
      </w:r>
      <w:r w:rsidRPr="00FA5BF8">
        <w:rPr>
          <w:rFonts w:asciiTheme="minorHAnsi" w:hAnsiTheme="minorHAnsi" w:cstheme="minorHAnsi"/>
          <w:b/>
          <w:bCs/>
          <w:i/>
          <w:iCs/>
        </w:rPr>
        <w:t>Independent Children’s Lawyers</w:t>
      </w:r>
      <w:r w:rsidR="006B4EC8">
        <w:rPr>
          <w:rFonts w:asciiTheme="minorHAnsi" w:hAnsiTheme="minorHAnsi" w:cstheme="minorHAnsi"/>
          <w:b/>
          <w:bCs/>
          <w:i/>
          <w:iCs/>
        </w:rPr>
        <w:t xml:space="preserve">, </w:t>
      </w:r>
      <w:r w:rsidRPr="00FA5BF8">
        <w:rPr>
          <w:rFonts w:asciiTheme="minorHAnsi" w:hAnsiTheme="minorHAnsi" w:cstheme="minorHAnsi"/>
          <w:b/>
          <w:bCs/>
        </w:rPr>
        <w:t xml:space="preserve">Part 2, </w:t>
      </w:r>
      <w:r w:rsidRPr="00FA5BF8">
        <w:rPr>
          <w:rFonts w:asciiTheme="minorHAnsi" w:hAnsiTheme="minorHAnsi" w:cstheme="minorHAnsi"/>
          <w:b/>
          <w:bCs/>
          <w:i/>
          <w:iCs/>
        </w:rPr>
        <w:t>Convention of the Civil Aspects of International Child Abduction</w:t>
      </w:r>
      <w:r w:rsidR="00693851">
        <w:rPr>
          <w:rFonts w:asciiTheme="minorHAnsi" w:hAnsiTheme="minorHAnsi" w:cstheme="minorHAnsi"/>
          <w:b/>
          <w:bCs/>
          <w:i/>
          <w:iCs/>
        </w:rPr>
        <w:t xml:space="preserve"> (HAC)</w:t>
      </w:r>
      <w:r w:rsidRPr="00FA5BF8">
        <w:rPr>
          <w:rFonts w:asciiTheme="minorHAnsi" w:hAnsiTheme="minorHAnsi" w:cstheme="minorHAnsi"/>
          <w:b/>
          <w:bCs/>
          <w:i/>
          <w:iCs/>
        </w:rPr>
        <w:t xml:space="preserve">: </w:t>
      </w:r>
    </w:p>
    <w:p w14:paraId="449C1240" w14:textId="79180031" w:rsidR="002104DD" w:rsidRPr="00FA5BF8" w:rsidRDefault="002104DD" w:rsidP="002104DD">
      <w:pPr>
        <w:spacing w:before="100" w:beforeAutospacing="1" w:after="100" w:afterAutospacing="1"/>
        <w:rPr>
          <w:rFonts w:asciiTheme="minorHAnsi" w:hAnsiTheme="minorHAnsi" w:cstheme="minorHAnsi"/>
        </w:rPr>
      </w:pPr>
      <w:r w:rsidRPr="00FA5BF8">
        <w:rPr>
          <w:rFonts w:asciiTheme="minorHAnsi" w:hAnsiTheme="minorHAnsi" w:cstheme="minorHAnsi"/>
        </w:rPr>
        <w:t xml:space="preserve">We </w:t>
      </w:r>
      <w:r w:rsidRPr="00FA5BF8">
        <w:rPr>
          <w:rFonts w:asciiTheme="minorHAnsi" w:hAnsiTheme="minorHAnsi" w:cstheme="minorHAnsi"/>
          <w:b/>
          <w:bCs/>
        </w:rPr>
        <w:t>support the clarification provided by an amended s68L(1)</w:t>
      </w:r>
      <w:r w:rsidRPr="00FA5BF8">
        <w:rPr>
          <w:rFonts w:asciiTheme="minorHAnsi" w:hAnsiTheme="minorHAnsi" w:cstheme="minorHAnsi"/>
        </w:rPr>
        <w:t xml:space="preserve"> that  HAC proceedings are proceedings in which a child’s best interests or welfare are a paramount or relevant consideration, and so trigger a possible appointment of an Independent Children’s Lawyer. </w:t>
      </w:r>
    </w:p>
    <w:p w14:paraId="41F415B5" w14:textId="175C7B2C" w:rsidR="002104DD" w:rsidRPr="00D86119" w:rsidRDefault="002104DD" w:rsidP="002104DD">
      <w:pPr>
        <w:spacing w:before="100" w:beforeAutospacing="1" w:after="100" w:afterAutospacing="1"/>
        <w:rPr>
          <w:rFonts w:asciiTheme="minorHAnsi" w:hAnsiTheme="minorHAnsi" w:cstheme="minorHAnsi"/>
        </w:rPr>
      </w:pPr>
      <w:r w:rsidRPr="00FA5BF8">
        <w:rPr>
          <w:rFonts w:asciiTheme="minorHAnsi" w:hAnsiTheme="minorHAnsi" w:cstheme="minorHAnsi"/>
          <w:b/>
          <w:bCs/>
        </w:rPr>
        <w:t xml:space="preserve">We also support the repeal of s68L(3)(a): </w:t>
      </w:r>
      <w:r w:rsidRPr="00FA5BF8">
        <w:rPr>
          <w:rFonts w:asciiTheme="minorHAnsi" w:hAnsiTheme="minorHAnsi" w:cstheme="minorHAnsi"/>
        </w:rPr>
        <w:t xml:space="preserve"> children’s interests should be legally represented in HAC proceedings. Their voices and views should be heard and considered. The appointment of an Independent Children’s Lawyer (ICL) who can form an ongoing relationship with the child is a way of ensuring that children are properly and independently informed and heard in the proceedings.</w:t>
      </w:r>
      <w:r w:rsidRPr="00FA5BF8">
        <w:rPr>
          <w:rStyle w:val="FootnoteReference"/>
          <w:rFonts w:asciiTheme="minorHAnsi" w:hAnsiTheme="minorHAnsi" w:cstheme="minorHAnsi"/>
        </w:rPr>
        <w:footnoteReference w:id="2"/>
      </w:r>
      <w:r w:rsidRPr="00FA5BF8">
        <w:rPr>
          <w:rFonts w:asciiTheme="minorHAnsi" w:hAnsiTheme="minorHAnsi" w:cstheme="minorHAnsi"/>
        </w:rPr>
        <w:t xml:space="preserve"> The current approach differs from those Hague Convention countries, such as Switzerland and South Africa, where children are routinely represented in HAC matters.</w:t>
      </w:r>
      <w:r w:rsidRPr="00FA5BF8">
        <w:rPr>
          <w:rStyle w:val="FootnoteReference"/>
          <w:rFonts w:asciiTheme="minorHAnsi" w:hAnsiTheme="minorHAnsi" w:cstheme="minorHAnsi"/>
        </w:rPr>
        <w:footnoteReference w:id="3"/>
      </w:r>
      <w:r w:rsidRPr="00FA5BF8">
        <w:rPr>
          <w:rFonts w:asciiTheme="minorHAnsi" w:hAnsiTheme="minorHAnsi" w:cstheme="minorHAnsi"/>
        </w:rPr>
        <w:t xml:space="preserve">  </w:t>
      </w:r>
      <w:r w:rsidRPr="00FA5BF8">
        <w:rPr>
          <w:rFonts w:asciiTheme="minorHAnsi" w:hAnsiTheme="minorHAnsi" w:cstheme="minorHAnsi"/>
          <w:b/>
          <w:bCs/>
        </w:rPr>
        <w:t xml:space="preserve">Therefore, we fully support the removal of the current requirement for ‘exceptional circumstances’ for the discretionary appointment of an ICL in HAC proceedings.  </w:t>
      </w:r>
      <w:r w:rsidR="007A0EE4" w:rsidRPr="00D86119">
        <w:rPr>
          <w:rFonts w:asciiTheme="minorHAnsi" w:hAnsiTheme="minorHAnsi" w:cstheme="minorHAnsi"/>
        </w:rPr>
        <w:t xml:space="preserve">This will allow ICLs to be involved in </w:t>
      </w:r>
      <w:r w:rsidR="00BA276F">
        <w:rPr>
          <w:rFonts w:asciiTheme="minorHAnsi" w:hAnsiTheme="minorHAnsi" w:cstheme="minorHAnsi"/>
        </w:rPr>
        <w:t xml:space="preserve">ensuring the </w:t>
      </w:r>
      <w:r w:rsidR="005B7081" w:rsidRPr="00D86119">
        <w:rPr>
          <w:rFonts w:asciiTheme="minorHAnsi" w:hAnsiTheme="minorHAnsi" w:cstheme="minorHAnsi"/>
        </w:rPr>
        <w:t>preventi</w:t>
      </w:r>
      <w:r w:rsidR="00BA276F">
        <w:rPr>
          <w:rFonts w:asciiTheme="minorHAnsi" w:hAnsiTheme="minorHAnsi" w:cstheme="minorHAnsi"/>
        </w:rPr>
        <w:t>o</w:t>
      </w:r>
      <w:r w:rsidR="005B7081" w:rsidRPr="00D86119">
        <w:rPr>
          <w:rFonts w:asciiTheme="minorHAnsi" w:hAnsiTheme="minorHAnsi" w:cstheme="minorHAnsi"/>
        </w:rPr>
        <w:t>n</w:t>
      </w:r>
      <w:r w:rsidR="00BA276F">
        <w:rPr>
          <w:rFonts w:asciiTheme="minorHAnsi" w:hAnsiTheme="minorHAnsi" w:cstheme="minorHAnsi"/>
        </w:rPr>
        <w:t xml:space="preserve"> of</w:t>
      </w:r>
      <w:r w:rsidR="007A0EE4" w:rsidRPr="00D86119">
        <w:rPr>
          <w:rFonts w:asciiTheme="minorHAnsi" w:hAnsiTheme="minorHAnsi" w:cstheme="minorHAnsi"/>
        </w:rPr>
        <w:t xml:space="preserve"> ‘grave risk</w:t>
      </w:r>
      <w:r w:rsidR="005B7081" w:rsidRPr="00D86119">
        <w:rPr>
          <w:rFonts w:asciiTheme="minorHAnsi" w:hAnsiTheme="minorHAnsi" w:cstheme="minorHAnsi"/>
        </w:rPr>
        <w:t>s</w:t>
      </w:r>
      <w:r w:rsidR="007A0EE4" w:rsidRPr="00D86119">
        <w:rPr>
          <w:rFonts w:asciiTheme="minorHAnsi" w:hAnsiTheme="minorHAnsi" w:cstheme="minorHAnsi"/>
        </w:rPr>
        <w:t xml:space="preserve">’ </w:t>
      </w:r>
      <w:r w:rsidR="005B7081" w:rsidRPr="00D86119">
        <w:rPr>
          <w:rFonts w:asciiTheme="minorHAnsi" w:hAnsiTheme="minorHAnsi" w:cstheme="minorHAnsi"/>
        </w:rPr>
        <w:t xml:space="preserve">to children in return proceedings in line with the recent amendments to </w:t>
      </w:r>
      <w:r w:rsidR="00D86119" w:rsidRPr="00D86119">
        <w:rPr>
          <w:rFonts w:asciiTheme="minorHAnsi" w:hAnsiTheme="minorHAnsi" w:cstheme="minorHAnsi"/>
        </w:rPr>
        <w:lastRenderedPageBreak/>
        <w:t xml:space="preserve">regulation 16 of the </w:t>
      </w:r>
      <w:r w:rsidR="00D86119" w:rsidRPr="00D86119">
        <w:rPr>
          <w:rFonts w:asciiTheme="minorHAnsi" w:hAnsiTheme="minorHAnsi" w:cstheme="minorHAnsi"/>
          <w:i/>
          <w:iCs/>
        </w:rPr>
        <w:t>Family Law (Child Abduction Convention) Regulations 1986</w:t>
      </w:r>
      <w:r w:rsidR="00D86119" w:rsidRPr="00D86119">
        <w:rPr>
          <w:rFonts w:asciiTheme="minorHAnsi" w:hAnsiTheme="minorHAnsi" w:cstheme="minorHAnsi"/>
        </w:rPr>
        <w:t xml:space="preserve"> (Cth) </w:t>
      </w:r>
      <w:r w:rsidR="005B7081" w:rsidRPr="00D86119">
        <w:rPr>
          <w:rFonts w:asciiTheme="minorHAnsi" w:hAnsiTheme="minorHAnsi" w:cstheme="minorHAnsi"/>
        </w:rPr>
        <w:t>that family violence may be considered</w:t>
      </w:r>
      <w:r w:rsidR="00D86119" w:rsidRPr="00D86119">
        <w:rPr>
          <w:rFonts w:asciiTheme="minorHAnsi" w:hAnsiTheme="minorHAnsi" w:cstheme="minorHAnsi"/>
        </w:rPr>
        <w:t xml:space="preserve"> in such proceedings.</w:t>
      </w:r>
    </w:p>
    <w:p w14:paraId="0B02F3E2" w14:textId="7997479A" w:rsidR="00B24685" w:rsidRPr="00B24685" w:rsidRDefault="00B24685" w:rsidP="004B7C16">
      <w:pPr>
        <w:rPr>
          <w:rFonts w:asciiTheme="minorHAnsi" w:hAnsiTheme="minorHAnsi" w:cstheme="minorHAnsi"/>
          <w:b/>
          <w:bCs/>
          <w:u w:val="single"/>
        </w:rPr>
      </w:pPr>
      <w:r w:rsidRPr="00B24685">
        <w:rPr>
          <w:rFonts w:asciiTheme="minorHAnsi" w:hAnsiTheme="minorHAnsi" w:cstheme="minorHAnsi"/>
          <w:b/>
          <w:bCs/>
          <w:u w:val="single"/>
        </w:rPr>
        <w:t>Necessary conditions for the changes to be effective:</w:t>
      </w:r>
    </w:p>
    <w:p w14:paraId="0DDBB55F" w14:textId="65AF9AA2" w:rsidR="002104DD" w:rsidRPr="00D86119" w:rsidRDefault="002104DD" w:rsidP="004B7C16">
      <w:pPr>
        <w:rPr>
          <w:rFonts w:asciiTheme="minorHAnsi" w:hAnsiTheme="minorHAnsi" w:cstheme="minorHAnsi"/>
        </w:rPr>
      </w:pPr>
      <w:r w:rsidRPr="00D86119">
        <w:rPr>
          <w:rFonts w:asciiTheme="minorHAnsi" w:hAnsiTheme="minorHAnsi" w:cstheme="minorHAnsi"/>
        </w:rPr>
        <w:t>Our full support for the proposal is subject to ICL training including education on how the Hague convention can be used as a tool of coercive control</w:t>
      </w:r>
      <w:r w:rsidR="00594B81">
        <w:rPr>
          <w:rFonts w:asciiTheme="minorHAnsi" w:hAnsiTheme="minorHAnsi" w:cstheme="minorHAnsi"/>
        </w:rPr>
        <w:t>,</w:t>
      </w:r>
      <w:r w:rsidRPr="00D86119">
        <w:rPr>
          <w:rStyle w:val="FootnoteReference"/>
          <w:rFonts w:asciiTheme="minorHAnsi" w:hAnsiTheme="minorHAnsi" w:cstheme="minorHAnsi"/>
        </w:rPr>
        <w:footnoteReference w:id="4"/>
      </w:r>
      <w:r w:rsidRPr="00D86119">
        <w:rPr>
          <w:rFonts w:asciiTheme="minorHAnsi" w:hAnsiTheme="minorHAnsi" w:cstheme="minorHAnsi"/>
        </w:rPr>
        <w:t xml:space="preserve">  </w:t>
      </w:r>
      <w:r w:rsidR="00594B81">
        <w:rPr>
          <w:rFonts w:asciiTheme="minorHAnsi" w:hAnsiTheme="minorHAnsi" w:cstheme="minorHAnsi"/>
        </w:rPr>
        <w:t>as well as ensuring that ICLs are generally family violence, trauma-informed</w:t>
      </w:r>
      <w:r w:rsidR="009D7A0D">
        <w:rPr>
          <w:rFonts w:asciiTheme="minorHAnsi" w:hAnsiTheme="minorHAnsi" w:cstheme="minorHAnsi"/>
        </w:rPr>
        <w:t xml:space="preserve"> and culturally safe aware. </w:t>
      </w:r>
      <w:r w:rsidRPr="00D86119">
        <w:rPr>
          <w:rFonts w:asciiTheme="minorHAnsi" w:hAnsiTheme="minorHAnsi" w:cstheme="minorHAnsi"/>
        </w:rPr>
        <w:t xml:space="preserve">ICLs should also be educated upon the recent changes made to regulation 16 of the </w:t>
      </w:r>
      <w:r w:rsidRPr="00D86119">
        <w:rPr>
          <w:rFonts w:asciiTheme="minorHAnsi" w:hAnsiTheme="minorHAnsi" w:cstheme="minorHAnsi"/>
          <w:i/>
          <w:iCs/>
        </w:rPr>
        <w:t>Family Law (Child Abduction Convention) Regulations 1986</w:t>
      </w:r>
      <w:r w:rsidRPr="00D86119">
        <w:rPr>
          <w:rFonts w:asciiTheme="minorHAnsi" w:hAnsiTheme="minorHAnsi" w:cstheme="minorHAnsi"/>
        </w:rPr>
        <w:t xml:space="preserve"> (Cth), which clarifies that family violence is a relevant factor in terms of determining the risk in returning a child to the country of habitual residence. </w:t>
      </w:r>
    </w:p>
    <w:p w14:paraId="40C9A513" w14:textId="77777777" w:rsidR="002104DD" w:rsidRPr="00FA5BF8" w:rsidRDefault="002104DD" w:rsidP="004B5328">
      <w:pPr>
        <w:spacing w:before="100" w:beforeAutospacing="1" w:after="100" w:afterAutospacing="1"/>
        <w:rPr>
          <w:rFonts w:asciiTheme="minorHAnsi" w:hAnsiTheme="minorHAnsi" w:cstheme="minorHAnsi"/>
        </w:rPr>
      </w:pPr>
      <w:r w:rsidRPr="00D86119">
        <w:rPr>
          <w:rFonts w:asciiTheme="minorHAnsi" w:hAnsiTheme="minorHAnsi" w:cstheme="minorHAnsi"/>
        </w:rPr>
        <w:t>Minimum national prerequisites to be on an ICL panel include five years of post-admission experience in family law. Hague proceedings require even more specialised expertise than general family law matters. Many private practitioners are no longer doing the complex and difficult work of being an ICL because</w:t>
      </w:r>
      <w:r w:rsidRPr="00FA5BF8">
        <w:rPr>
          <w:rFonts w:asciiTheme="minorHAnsi" w:hAnsiTheme="minorHAnsi" w:cstheme="minorHAnsi"/>
        </w:rPr>
        <w:t xml:space="preserve"> legal aid rates compare so badly to private practitioner work.</w:t>
      </w:r>
      <w:r w:rsidRPr="00FA5BF8">
        <w:rPr>
          <w:rStyle w:val="FootnoteReference"/>
          <w:rFonts w:asciiTheme="minorHAnsi" w:hAnsiTheme="minorHAnsi" w:cstheme="minorHAnsi"/>
        </w:rPr>
        <w:footnoteReference w:id="5"/>
      </w:r>
      <w:r w:rsidRPr="00FA5BF8">
        <w:rPr>
          <w:rFonts w:asciiTheme="minorHAnsi" w:hAnsiTheme="minorHAnsi" w:cstheme="minorHAnsi"/>
        </w:rPr>
        <w:t xml:space="preserve">  The government cannot expect lawyers with the relevant family law experience and HAC expertise to be on the Panel unless funding rates are increased. </w:t>
      </w:r>
    </w:p>
    <w:p w14:paraId="1B10C8C7" w14:textId="267715DB" w:rsidR="00487E60" w:rsidRPr="00487E60" w:rsidRDefault="00487E60" w:rsidP="005F1C22">
      <w:pPr>
        <w:autoSpaceDE w:val="0"/>
        <w:autoSpaceDN w:val="0"/>
        <w:adjustRightInd w:val="0"/>
        <w:spacing w:line="240" w:lineRule="auto"/>
        <w:rPr>
          <w:rFonts w:asciiTheme="minorHAnsi" w:hAnsiTheme="minorHAnsi" w:cstheme="minorHAnsi"/>
          <w:b/>
          <w:bCs/>
          <w:u w:val="single"/>
        </w:rPr>
      </w:pPr>
      <w:r w:rsidRPr="00487E60">
        <w:rPr>
          <w:rFonts w:asciiTheme="minorHAnsi" w:hAnsiTheme="minorHAnsi" w:cstheme="minorHAnsi"/>
          <w:b/>
          <w:bCs/>
          <w:u w:val="single"/>
        </w:rPr>
        <w:t xml:space="preserve">Further changes should be made to the Child Abduction Regulations: </w:t>
      </w:r>
    </w:p>
    <w:p w14:paraId="1BE287E8" w14:textId="418E2F2D" w:rsidR="002104DD" w:rsidRDefault="00D86119" w:rsidP="00487E60">
      <w:pPr>
        <w:autoSpaceDE w:val="0"/>
        <w:autoSpaceDN w:val="0"/>
        <w:adjustRightInd w:val="0"/>
        <w:rPr>
          <w:rFonts w:asciiTheme="minorHAnsi" w:hAnsiTheme="minorHAnsi" w:cstheme="minorHAnsi"/>
        </w:rPr>
      </w:pPr>
      <w:r>
        <w:rPr>
          <w:rFonts w:asciiTheme="minorHAnsi" w:hAnsiTheme="minorHAnsi" w:cstheme="minorHAnsi"/>
        </w:rPr>
        <w:t xml:space="preserve">Whilst we support the proposed amendments to section 68L and the recent amendments made in the </w:t>
      </w:r>
      <w:r w:rsidR="00A7328B">
        <w:rPr>
          <w:rFonts w:asciiTheme="minorHAnsi" w:hAnsiTheme="minorHAnsi" w:cstheme="minorHAnsi"/>
        </w:rPr>
        <w:t xml:space="preserve">Child Abduction Regulations, we remain concerned that the amendments are insufficient to prevent child abduction proceedings continuing to be used by perpetrators of violence and abuse as a mechanism to perpetrate ongoing abuse and place parents or carers and their children who fell violence back into unsafe </w:t>
      </w:r>
      <w:r w:rsidR="00A7328B" w:rsidRPr="008B6A27">
        <w:rPr>
          <w:rFonts w:asciiTheme="minorHAnsi" w:hAnsiTheme="minorHAnsi" w:cstheme="minorHAnsi"/>
        </w:rPr>
        <w:t>situations.</w:t>
      </w:r>
      <w:r w:rsidR="00487E60">
        <w:rPr>
          <w:rStyle w:val="FootnoteReference"/>
          <w:rFonts w:asciiTheme="minorHAnsi" w:hAnsiTheme="minorHAnsi" w:cstheme="minorHAnsi"/>
        </w:rPr>
        <w:footnoteReference w:id="6"/>
      </w:r>
      <w:r w:rsidR="00A7328B" w:rsidRPr="008B6A27">
        <w:rPr>
          <w:rFonts w:asciiTheme="minorHAnsi" w:hAnsiTheme="minorHAnsi" w:cstheme="minorHAnsi"/>
          <w:b/>
          <w:bCs/>
        </w:rPr>
        <w:t xml:space="preserve">  We believe that further changes should be made to the regulations to mandate judges to consider family violence</w:t>
      </w:r>
      <w:r w:rsidR="00BE002D" w:rsidRPr="008B6A27">
        <w:rPr>
          <w:rFonts w:asciiTheme="minorHAnsi" w:hAnsiTheme="minorHAnsi" w:cstheme="minorHAnsi"/>
        </w:rPr>
        <w:t>. It is unclear why the word</w:t>
      </w:r>
      <w:r w:rsidR="00706E93" w:rsidRPr="008B6A27">
        <w:rPr>
          <w:rFonts w:asciiTheme="minorHAnsi" w:hAnsiTheme="minorHAnsi" w:cstheme="minorHAnsi"/>
        </w:rPr>
        <w:t>ing iin the Note to Regulation</w:t>
      </w:r>
      <w:r w:rsidR="005F1C22" w:rsidRPr="008B6A27">
        <w:rPr>
          <w:rFonts w:asciiTheme="minorHAnsi" w:hAnsiTheme="minorHAnsi" w:cstheme="minorHAnsi"/>
        </w:rPr>
        <w:t>16 (3) state</w:t>
      </w:r>
      <w:r w:rsidR="00706E93" w:rsidRPr="008B6A27">
        <w:rPr>
          <w:rFonts w:asciiTheme="minorHAnsi" w:hAnsiTheme="minorHAnsi" w:cstheme="minorHAnsi"/>
        </w:rPr>
        <w:t>s that “</w:t>
      </w:r>
      <w:r w:rsidR="00706E93" w:rsidRPr="008B6A27">
        <w:rPr>
          <w:rFonts w:ascii="Calibri" w:hAnsi="Calibri" w:cs="Calibri"/>
          <w:lang w:val="en-AU"/>
        </w:rPr>
        <w:t xml:space="preserve">the court </w:t>
      </w:r>
      <w:r w:rsidR="00706E93" w:rsidRPr="008B6A27">
        <w:rPr>
          <w:rFonts w:ascii="Calibri" w:hAnsi="Calibri" w:cs="Calibri"/>
          <w:b/>
          <w:bCs/>
          <w:u w:val="single"/>
          <w:lang w:val="en-AU"/>
        </w:rPr>
        <w:t>may</w:t>
      </w:r>
      <w:r w:rsidR="00706E93" w:rsidRPr="008B6A27">
        <w:rPr>
          <w:rFonts w:ascii="Calibri" w:hAnsi="Calibri" w:cs="Calibri"/>
          <w:lang w:val="en-AU"/>
        </w:rPr>
        <w:t xml:space="preserve"> have regard to any risk that the</w:t>
      </w:r>
      <w:r w:rsidR="005F1C22" w:rsidRPr="008B6A27">
        <w:rPr>
          <w:rFonts w:ascii="Calibri" w:hAnsi="Calibri" w:cs="Calibri"/>
          <w:lang w:val="en-AU"/>
        </w:rPr>
        <w:t xml:space="preserve"> </w:t>
      </w:r>
      <w:r w:rsidR="00706E93" w:rsidRPr="008B6A27">
        <w:rPr>
          <w:rFonts w:ascii="Calibri" w:hAnsi="Calibri" w:cs="Calibri"/>
          <w:lang w:val="en-AU"/>
        </w:rPr>
        <w:t>return of the child under the Convention would result in the child being subject to, or exposed to,</w:t>
      </w:r>
      <w:r w:rsidR="005F1C22" w:rsidRPr="008B6A27">
        <w:rPr>
          <w:rFonts w:ascii="Calibri" w:hAnsi="Calibri" w:cs="Calibri"/>
          <w:lang w:val="en-AU"/>
        </w:rPr>
        <w:t xml:space="preserve"> </w:t>
      </w:r>
      <w:r w:rsidR="00706E93" w:rsidRPr="008B6A27">
        <w:rPr>
          <w:rFonts w:ascii="Calibri" w:hAnsi="Calibri" w:cs="Calibri"/>
          <w:lang w:val="en-AU"/>
        </w:rPr>
        <w:t xml:space="preserve">family violence”. This option is already </w:t>
      </w:r>
      <w:r w:rsidR="005F1C22" w:rsidRPr="008B6A27">
        <w:rPr>
          <w:rFonts w:ascii="Calibri" w:hAnsi="Calibri" w:cs="Calibri"/>
          <w:lang w:val="en-AU"/>
        </w:rPr>
        <w:t xml:space="preserve">available to judges and has resulted in </w:t>
      </w:r>
      <w:r w:rsidR="00E81106" w:rsidRPr="008B6A27">
        <w:rPr>
          <w:rFonts w:ascii="Calibri" w:hAnsi="Calibri" w:cs="Calibri"/>
          <w:lang w:val="en-AU"/>
        </w:rPr>
        <w:t xml:space="preserve">unsafe returns to date.  The wording should state that a </w:t>
      </w:r>
      <w:r w:rsidR="00E81106" w:rsidRPr="008B6A27">
        <w:rPr>
          <w:rFonts w:ascii="Calibri" w:hAnsi="Calibri" w:cs="Calibri"/>
          <w:b/>
          <w:bCs/>
          <w:u w:val="single"/>
          <w:lang w:val="en-AU"/>
        </w:rPr>
        <w:t>court</w:t>
      </w:r>
      <w:r w:rsidR="00E81106" w:rsidRPr="008B6A27">
        <w:rPr>
          <w:rFonts w:ascii="Calibri" w:hAnsi="Calibri" w:cs="Calibri"/>
          <w:lang w:val="en-AU"/>
        </w:rPr>
        <w:t xml:space="preserve"> </w:t>
      </w:r>
      <w:r w:rsidR="0077208C" w:rsidRPr="008B6A27">
        <w:rPr>
          <w:rFonts w:ascii="Calibri" w:hAnsi="Calibri" w:cs="Calibri"/>
          <w:lang w:val="en-AU"/>
        </w:rPr>
        <w:t>must have regard to family violence in these matters.  Additionally there should be an explicit provision added that a court must refuse to make a return order if there is a relevant grave risk.</w:t>
      </w:r>
    </w:p>
    <w:p w14:paraId="23DDFD90" w14:textId="77777777" w:rsidR="00D86119" w:rsidRDefault="00D86119" w:rsidP="002104DD">
      <w:pPr>
        <w:rPr>
          <w:rFonts w:asciiTheme="minorHAnsi" w:hAnsiTheme="minorHAnsi" w:cstheme="minorHAnsi"/>
        </w:rPr>
      </w:pPr>
    </w:p>
    <w:p w14:paraId="7F4202D3" w14:textId="095BF199" w:rsidR="008B6A27" w:rsidRDefault="00487E60" w:rsidP="002104DD">
      <w:pPr>
        <w:rPr>
          <w:rFonts w:asciiTheme="minorHAnsi" w:hAnsiTheme="minorHAnsi" w:cstheme="minorHAnsi"/>
        </w:rPr>
      </w:pPr>
      <w:r w:rsidRPr="00F261B8">
        <w:rPr>
          <w:rFonts w:asciiTheme="minorHAnsi" w:hAnsiTheme="minorHAnsi" w:cstheme="minorHAnsi"/>
        </w:rPr>
        <w:t>Another</w:t>
      </w:r>
      <w:r w:rsidR="008B6A27" w:rsidRPr="00F261B8">
        <w:rPr>
          <w:rFonts w:asciiTheme="minorHAnsi" w:hAnsiTheme="minorHAnsi" w:cstheme="minorHAnsi"/>
        </w:rPr>
        <w:t xml:space="preserve"> change to the regulations is required</w:t>
      </w:r>
      <w:r w:rsidR="00642898" w:rsidRPr="00F261B8">
        <w:rPr>
          <w:rFonts w:asciiTheme="minorHAnsi" w:hAnsiTheme="minorHAnsi" w:cstheme="minorHAnsi"/>
        </w:rPr>
        <w:t xml:space="preserve"> to ensure that Australia is complying with its obligations</w:t>
      </w:r>
      <w:r w:rsidR="006C34F6">
        <w:rPr>
          <w:rFonts w:asciiTheme="minorHAnsi" w:hAnsiTheme="minorHAnsi" w:cstheme="minorHAnsi"/>
        </w:rPr>
        <w:t xml:space="preserve"> </w:t>
      </w:r>
      <w:r w:rsidR="00642898" w:rsidRPr="00F261B8">
        <w:rPr>
          <w:rFonts w:asciiTheme="minorHAnsi" w:hAnsiTheme="minorHAnsi" w:cstheme="minorHAnsi"/>
        </w:rPr>
        <w:t>in Article 12 of the United Nations Convention on the Rights of the Child</w:t>
      </w:r>
      <w:r w:rsidR="0041058B" w:rsidRPr="00F261B8">
        <w:rPr>
          <w:rFonts w:asciiTheme="minorHAnsi" w:hAnsiTheme="minorHAnsi" w:cstheme="minorHAnsi"/>
        </w:rPr>
        <w:t xml:space="preserve"> to ensure the child has a right to be heard</w:t>
      </w:r>
      <w:r w:rsidR="00F261B8" w:rsidRPr="00F261B8">
        <w:rPr>
          <w:rFonts w:asciiTheme="minorHAnsi" w:hAnsiTheme="minorHAnsi" w:cstheme="minorHAnsi"/>
        </w:rPr>
        <w:t xml:space="preserve"> in </w:t>
      </w:r>
      <w:r w:rsidR="00F261B8" w:rsidRPr="00F261B8">
        <w:rPr>
          <w:rFonts w:asciiTheme="minorHAnsi" w:hAnsiTheme="minorHAnsi" w:cstheme="minorHAnsi"/>
          <w:i/>
          <w:iCs/>
        </w:rPr>
        <w:t>all</w:t>
      </w:r>
      <w:r w:rsidR="00F261B8" w:rsidRPr="00F261B8">
        <w:rPr>
          <w:rFonts w:asciiTheme="minorHAnsi" w:hAnsiTheme="minorHAnsi" w:cstheme="minorHAnsi"/>
        </w:rPr>
        <w:t xml:space="preserve"> proceedings affecting them.</w:t>
      </w:r>
      <w:r w:rsidR="00F261B8" w:rsidRPr="00F261B8">
        <w:rPr>
          <w:rStyle w:val="FootnoteReference"/>
          <w:rFonts w:asciiTheme="minorHAnsi" w:hAnsiTheme="minorHAnsi" w:cstheme="minorHAnsi"/>
        </w:rPr>
        <w:t xml:space="preserve"> </w:t>
      </w:r>
      <w:r w:rsidR="00642898" w:rsidRPr="00F261B8">
        <w:rPr>
          <w:rStyle w:val="FootnoteReference"/>
          <w:rFonts w:asciiTheme="minorHAnsi" w:hAnsiTheme="minorHAnsi" w:cstheme="minorHAnsi"/>
        </w:rPr>
        <w:footnoteReference w:id="7"/>
      </w:r>
      <w:r w:rsidR="00642898" w:rsidRPr="00F261B8">
        <w:rPr>
          <w:rFonts w:asciiTheme="minorHAnsi" w:hAnsiTheme="minorHAnsi" w:cstheme="minorHAnsi"/>
        </w:rPr>
        <w:t xml:space="preserve"> </w:t>
      </w:r>
      <w:r w:rsidR="00F261B8">
        <w:rPr>
          <w:rFonts w:asciiTheme="minorHAnsi" w:hAnsiTheme="minorHAnsi" w:cstheme="minorHAnsi"/>
        </w:rPr>
        <w:t>S</w:t>
      </w:r>
      <w:r w:rsidR="00854754">
        <w:rPr>
          <w:rFonts w:asciiTheme="minorHAnsi" w:hAnsiTheme="minorHAnsi" w:cstheme="minorHAnsi"/>
        </w:rPr>
        <w:t>ince 2000,</w:t>
      </w:r>
      <w:r w:rsidR="00854754" w:rsidRPr="00854754">
        <w:rPr>
          <w:rFonts w:asciiTheme="minorHAnsi" w:hAnsiTheme="minorHAnsi" w:cstheme="minorHAnsi"/>
        </w:rPr>
        <w:t xml:space="preserve"> Australia has required the exception based on a child’s objection to show a strength of feeling beyond the mere expression of a preference or of ordinary wishes.  This is more onerous than the wording of the actual Convention. It should be changed back to its original wording</w:t>
      </w:r>
      <w:r w:rsidR="00854754">
        <w:rPr>
          <w:rFonts w:asciiTheme="minorHAnsi" w:hAnsiTheme="minorHAnsi" w:cstheme="minorHAnsi"/>
        </w:rPr>
        <w:t xml:space="preserve">. This robs children of their voice in a situation where they have a right to be heard. </w:t>
      </w:r>
    </w:p>
    <w:p w14:paraId="5DE15FAE" w14:textId="77777777" w:rsidR="00D86119" w:rsidRDefault="00D86119" w:rsidP="002104DD">
      <w:pPr>
        <w:rPr>
          <w:rFonts w:asciiTheme="minorHAnsi" w:hAnsiTheme="minorHAnsi" w:cstheme="minorHAnsi"/>
        </w:rPr>
      </w:pPr>
    </w:p>
    <w:p w14:paraId="5C84884D" w14:textId="77777777" w:rsidR="002104DD" w:rsidRPr="00FA5BF8" w:rsidRDefault="002104DD" w:rsidP="002104DD">
      <w:pPr>
        <w:rPr>
          <w:rStyle w:val="Hyperlink"/>
          <w:rFonts w:asciiTheme="minorHAnsi" w:hAnsiTheme="minorHAnsi" w:cstheme="minorHAnsi"/>
          <w:color w:val="582C77"/>
        </w:rPr>
      </w:pPr>
      <w:r w:rsidRPr="00FA5BF8">
        <w:rPr>
          <w:rFonts w:asciiTheme="minorHAnsi" w:hAnsiTheme="minorHAnsi" w:cstheme="minorHAnsi"/>
          <w:color w:val="582C77"/>
        </w:rPr>
        <w:t xml:space="preserve">We are very happy to consult further on this submission. In the first instance, please contact Miranda Kaye as the primary author: </w:t>
      </w:r>
      <w:hyperlink r:id="rId7" w:history="1">
        <w:r w:rsidRPr="00FA5BF8">
          <w:rPr>
            <w:rStyle w:val="Hyperlink"/>
            <w:rFonts w:asciiTheme="minorHAnsi" w:hAnsiTheme="minorHAnsi" w:cstheme="minorHAnsi"/>
            <w:color w:val="582C77"/>
          </w:rPr>
          <w:t>Miranda.kaye@uts.edu.au</w:t>
        </w:r>
      </w:hyperlink>
    </w:p>
    <w:p w14:paraId="17FA368D" w14:textId="7D36AB11" w:rsidR="00081B43" w:rsidRDefault="002104DD">
      <w:pPr>
        <w:rPr>
          <w:rFonts w:ascii="Calibri" w:eastAsia="Calibri" w:hAnsi="Calibri" w:cs="Calibri"/>
        </w:rPr>
      </w:pPr>
      <w:r w:rsidRPr="00FA5BF8">
        <w:rPr>
          <w:rFonts w:asciiTheme="minorHAnsi" w:hAnsiTheme="minorHAnsi" w:cstheme="minorHAnsi"/>
          <w:i/>
          <w:color w:val="000000" w:themeColor="text1"/>
        </w:rPr>
        <w:t xml:space="preserve">Submitted by Hague Mothers FiLiA Legacy </w:t>
      </w:r>
    </w:p>
    <w:sectPr w:rsidR="00081B43" w:rsidSect="003E414A">
      <w:headerReference w:type="first" r:id="rId8"/>
      <w:pgSz w:w="12247" w:h="17180"/>
      <w:pgMar w:top="1440" w:right="1080" w:bottom="1440" w:left="108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BE030" w14:textId="77777777" w:rsidR="006D247E" w:rsidRDefault="006D247E">
      <w:pPr>
        <w:spacing w:line="240" w:lineRule="auto"/>
      </w:pPr>
      <w:r>
        <w:separator/>
      </w:r>
    </w:p>
  </w:endnote>
  <w:endnote w:type="continuationSeparator" w:id="0">
    <w:p w14:paraId="71A91732" w14:textId="77777777" w:rsidR="006D247E" w:rsidRDefault="006D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AC0F0" w14:textId="77777777" w:rsidR="006D247E" w:rsidRDefault="006D247E">
      <w:pPr>
        <w:spacing w:line="240" w:lineRule="auto"/>
      </w:pPr>
      <w:r>
        <w:separator/>
      </w:r>
    </w:p>
  </w:footnote>
  <w:footnote w:type="continuationSeparator" w:id="0">
    <w:p w14:paraId="5971A514" w14:textId="77777777" w:rsidR="006D247E" w:rsidRDefault="006D247E">
      <w:pPr>
        <w:spacing w:line="240" w:lineRule="auto"/>
      </w:pPr>
      <w:r>
        <w:continuationSeparator/>
      </w:r>
    </w:p>
  </w:footnote>
  <w:footnote w:id="1">
    <w:p w14:paraId="5DDD7AC1" w14:textId="77777777" w:rsidR="002104DD" w:rsidRPr="006C34F6" w:rsidRDefault="002104DD" w:rsidP="002104DD">
      <w:pPr>
        <w:pStyle w:val="FootnoteText"/>
        <w:rPr>
          <w:lang w:val="en-GB"/>
        </w:rPr>
      </w:pPr>
      <w:r w:rsidRPr="006C34F6">
        <w:rPr>
          <w:rStyle w:val="FootnoteReference"/>
        </w:rPr>
        <w:footnoteRef/>
      </w:r>
      <w:r w:rsidRPr="006C34F6">
        <w:t xml:space="preserve"> </w:t>
      </w:r>
      <w:r w:rsidRPr="006C34F6">
        <w:rPr>
          <w:lang w:val="en-GB"/>
        </w:rPr>
        <w:t>Hague Mothers is a voluntary international initiative which aims to end the injustices caused by the Hague Abduction Convention, specifically for mothers fleeing domestic abuse and coercive control. It is a FiLiA Legacy Project: FiLiA.org.uk.</w:t>
      </w:r>
    </w:p>
  </w:footnote>
  <w:footnote w:id="2">
    <w:p w14:paraId="032DFD09" w14:textId="1E82FB10" w:rsidR="002104DD" w:rsidRPr="006C34F6" w:rsidRDefault="002104DD" w:rsidP="002104DD">
      <w:pPr>
        <w:pStyle w:val="FootnoteText"/>
        <w:rPr>
          <w:lang w:val="en-AU"/>
        </w:rPr>
      </w:pPr>
      <w:r w:rsidRPr="006C34F6">
        <w:rPr>
          <w:rStyle w:val="FootnoteReference"/>
        </w:rPr>
        <w:footnoteRef/>
      </w:r>
      <w:r w:rsidRPr="006C34F6">
        <w:t xml:space="preserve"> </w:t>
      </w:r>
      <w:r w:rsidRPr="006C34F6">
        <w:fldChar w:fldCharType="begin"/>
      </w:r>
      <w:r w:rsidR="00F43532" w:rsidRPr="006C34F6">
        <w:instrText xml:space="preserve"> ADDIN ZOTERO_ITEM CSL_CITATION {"citationID":"UKDDSAlM","properties":{"formattedCitation":"Michelle Fernando and Nicola Ross, \\uc0\\u8216{}Stifled Voices: Hearing Children\\uc0\\u8217{}s Objections in Hague Child Abduction Convention Cases in Australia\\uc0\\u8217{} (2018) 32(1) {\\i{}International Journal of Law, Policy and the Family} 93 (\\uc0\\u8216{}Stifled Voices\\uc0\\u8217{}).","plainCitation":"Michelle Fernando and Nicola Ross, ‘Stifled Voices: Hearing Children’s Objections in Hague Child Abduction Convention Cases in Australia’ (2018) 32(1) International Journal of Law, Policy and the Family 93 (‘Stifled Voices’).","dontUpdate":true,"noteIndex":2},"citationItems":[{"id":819,"uris":["http://zotero.org/users/3989516/items/BA5Y6EFE"],"itemData":{"id":819,"type":"article-journal","abstract":"In 2012, four Italian children unlawfully retained in Australia by their mother were sent back to Italy, even though they had been in Australia for over 2 years, all four objected to being returned and the two elder children were aged 12 and 14 years at the time of the ﬁrst hearing. The High Court of Australia ruled that the children had been afforded natural justice and that their views had been appropriately heard and considered, despite the children not having had legal representation or the opportunity to express their views directly. This article examines the meaning and operation of the ‘children’s objection’ exception to a mandatory return order made in Australia pursuant to the Hague Convention on the Civil Aspects of International Child Abduction. While the general rule is that children unlawfully taken from their home country by a parent must be returned, Article 13 gives a court discretion to refuse to return a child if the child objects and is of sufﬁcient age and maturity. In Australia, the child’s objection must also show a ‘strength of feeling’ beyond a mere preference or ordinary wishes. The authors discuss the limitations of the current procedures for hearing children’s objections in light of the child’s right to be heard pursuant to Article 12 of the United Nations Convention on the Rights of the Child, and advocate greater use of Independent Children’s Lawyers and meetings between children and judges in Hague Convention cases.","container-title":"International Journal of Law, Policy and the Family","DOI":"10.1093/lawfam/ebx019","ISSN":"1360-9939, 1464-3707","issue":"1","language":"en","page":"93-108","source":"CrossRef","title":"Stifled Voices: Hearing Children’s Objections in Hague Child Abduction Convention Cases in Australia","title-short":"Stifled Voices","volume":"32","author":[{"family":"Fernando","given":"Michelle"},{"family":"Ross","given":"Nicola"}],"issued":{"date-parts":[["2018",4,1]]}}}],"schema":"https://github.com/citation-style-language/schema/raw/master/csl-citation.json"} </w:instrText>
      </w:r>
      <w:r w:rsidRPr="006C34F6">
        <w:fldChar w:fldCharType="separate"/>
      </w:r>
      <w:r w:rsidRPr="006C34F6">
        <w:rPr>
          <w:rFonts w:ascii="Calibri" w:hAnsi="Calibri" w:cs="Calibri"/>
        </w:rPr>
        <w:t xml:space="preserve">Michelle Fernando and Nicola Ross, ‘Stifled Voices: Hearing Children’s Objections in Hague Child Abduction Convention Cases in Australia’ (2018) 32(1) </w:t>
      </w:r>
      <w:r w:rsidRPr="006C34F6">
        <w:rPr>
          <w:rFonts w:ascii="Calibri" w:hAnsi="Calibri" w:cs="Calibri"/>
          <w:i/>
          <w:iCs/>
        </w:rPr>
        <w:t>International Journal of Law, Policy and the Family</w:t>
      </w:r>
      <w:r w:rsidRPr="006C34F6">
        <w:rPr>
          <w:rFonts w:ascii="Calibri" w:hAnsi="Calibri" w:cs="Calibri"/>
        </w:rPr>
        <w:t xml:space="preserve"> 93.</w:t>
      </w:r>
      <w:r w:rsidRPr="006C34F6">
        <w:fldChar w:fldCharType="end"/>
      </w:r>
    </w:p>
  </w:footnote>
  <w:footnote w:id="3">
    <w:p w14:paraId="1650E21E" w14:textId="1E38A759" w:rsidR="002104DD" w:rsidRPr="00E94747" w:rsidRDefault="002104DD" w:rsidP="002104DD">
      <w:pPr>
        <w:pStyle w:val="FootnoteText"/>
        <w:rPr>
          <w:lang w:val="en-AU"/>
        </w:rPr>
      </w:pPr>
      <w:r w:rsidRPr="006C34F6">
        <w:rPr>
          <w:rStyle w:val="FootnoteReference"/>
        </w:rPr>
        <w:footnoteRef/>
      </w:r>
      <w:r w:rsidRPr="006C34F6">
        <w:t xml:space="preserve"> </w:t>
      </w:r>
      <w:r w:rsidRPr="006C34F6">
        <w:fldChar w:fldCharType="begin"/>
      </w:r>
      <w:r w:rsidR="00F43532" w:rsidRPr="006C34F6">
        <w:instrText xml:space="preserve"> ADDIN ZOTERO_ITEM CSL_CITATION {"citationID":"1agEYyOH","properties":{"formattedCitation":"Ibid 103.","plainCitation":"Ibid 103.","noteIndex":3},"citationItems":[{"id":819,"uris":["http://zotero.org/users/3989516/items/BA5Y6EFE"],"itemData":{"id":819,"type":"article-journal","abstract":"In 2012, four Italian children unlawfully retained in Australia by their mother were sent back to Italy, even though they had been in Australia for over 2 years, all four objected to being returned and the two elder children were aged 12 and 14 years at the time of the ﬁrst hearing. The High Court of Australia ruled that the children had been afforded natural justice and that their views had been appropriately heard and considered, despite the children not having had legal representation or the opportunity to express their views directly. This article examines the meaning and operation of the ‘children’s objection’ exception to a mandatory return order made in Australia pursuant to the Hague Convention on the Civil Aspects of International Child Abduction. While the general rule is that children unlawfully taken from their home country by a parent must be returned, Article 13 gives a court discretion to refuse to return a child if the child objects and is of sufﬁcient age and maturity. In Australia, the child’s objection must also show a ‘strength of feeling’ beyond a mere preference or ordinary wishes. The authors discuss the limitations of the current procedures for hearing children’s objections in light of the child’s right to be heard pursuant to Article 12 of the United Nations Convention on the Rights of the Child, and advocate greater use of Independent Children’s Lawyers and meetings between children and judges in Hague Convention cases.","container-title":"International Journal of Law, Policy and the Family","DOI":"10.1093/lawfam/ebx019","ISSN":"1360-9939, 1464-3707","issue":"1","language":"en","page":"93-108","source":"CrossRef","title":"Stifled Voices: Hearing Children’s Objections in Hague Child Abduction Convention Cases in Australia","title-short":"Stifled Voices","volume":"32","author":[{"family":"Fernando","given":"Michelle"},{"family":"Ross","given":"Nicola"}],"issued":{"date-parts":[["2018",4,1]]}},"locator":"103"}],"schema":"https://github.com/citation-style-language/schema/raw/master/csl-citation.json"} </w:instrText>
      </w:r>
      <w:r w:rsidRPr="006C34F6">
        <w:fldChar w:fldCharType="separate"/>
      </w:r>
      <w:r w:rsidRPr="006C34F6">
        <w:rPr>
          <w:rFonts w:ascii="Calibri" w:hAnsi="Calibri" w:cs="Calibri"/>
        </w:rPr>
        <w:t>Ibid 103.</w:t>
      </w:r>
      <w:r w:rsidRPr="006C34F6">
        <w:fldChar w:fldCharType="end"/>
      </w:r>
    </w:p>
  </w:footnote>
  <w:footnote w:id="4">
    <w:p w14:paraId="37FF53F2" w14:textId="77777777" w:rsidR="002104DD" w:rsidRPr="00FF7876" w:rsidRDefault="002104DD" w:rsidP="002104DD">
      <w:pPr>
        <w:pStyle w:val="FootnoteText"/>
        <w:rPr>
          <w:lang w:val="en-AU"/>
        </w:rPr>
      </w:pPr>
      <w:r>
        <w:rPr>
          <w:rStyle w:val="FootnoteReference"/>
        </w:rPr>
        <w:footnoteRef/>
      </w:r>
      <w:r>
        <w:t xml:space="preserve"> </w:t>
      </w:r>
      <w:r>
        <w:fldChar w:fldCharType="begin"/>
      </w:r>
      <w:r>
        <w:instrText xml:space="preserve"> ADDIN ZOTERO_ITEM CSL_CITATION {"citationID":"Ur2LVRpP","properties":{"formattedCitation":"Gina Masterton et al, {\\i{}Being \\uc0\\u8216{}Hagued\\uc0\\u8217{}: How Weaponising the Hague Convention Harms Women, Family and Domestic Violence Survivors} (QUT Centre for Justice Briefing Paper No Issue No 25, May 2022) 1.","plainCitation":"Gina Masterton et al, Being ‘Hagued’: How Weaponising the Hague Convention Harms Women, Family and Domestic Violence Survivors (QUT Centre for Justice Briefing Paper No Issue No 25, May 2022) 1.","noteIndex":4},"citationItems":[{"id":6580,"uris":["http://zotero.org/users/3989516/items/TR5YN8EX"],"itemData":{"id":6580,"type":"report","genre":"QUT Centre for Justice Briefing Paper","language":"en","number":"Issue No 25","page":"1-4","source":"Zotero","title":"Being ‘Hagued’: How weaponising the Hague Convention harms women, family and domestic violence survivors","author":[{"family":"Masterton","given":"Gina"},{"family":"Rathus","given":"Zoe"},{"family":"Flood","given":"John"},{"family":"Tranter","given":"Kieran"}],"issued":{"date-parts":[["2022",5]]}}}],"schema":"https://github.com/citation-style-language/schema/raw/master/csl-citation.json"} </w:instrText>
      </w:r>
      <w:r>
        <w:fldChar w:fldCharType="separate"/>
      </w:r>
      <w:r w:rsidRPr="00FF7876">
        <w:rPr>
          <w:rFonts w:ascii="Calibri" w:hAnsi="Calibri" w:cs="Calibri"/>
          <w:szCs w:val="24"/>
        </w:rPr>
        <w:t xml:space="preserve">Gina Masterton et al, </w:t>
      </w:r>
      <w:r w:rsidRPr="00FF7876">
        <w:rPr>
          <w:rFonts w:ascii="Calibri" w:hAnsi="Calibri" w:cs="Calibri"/>
          <w:i/>
          <w:iCs/>
          <w:szCs w:val="24"/>
        </w:rPr>
        <w:t>Being ‘Hagued’: How Weaponising the Hague Convention Harms Women, Family and Domestic Violence Survivors</w:t>
      </w:r>
      <w:r w:rsidRPr="00FF7876">
        <w:rPr>
          <w:rFonts w:ascii="Calibri" w:hAnsi="Calibri" w:cs="Calibri"/>
          <w:szCs w:val="24"/>
        </w:rPr>
        <w:t xml:space="preserve"> (QUT Centre for Justice Briefing Paper No Issue No 25, May 2022) 1.</w:t>
      </w:r>
      <w:r>
        <w:fldChar w:fldCharType="end"/>
      </w:r>
    </w:p>
  </w:footnote>
  <w:footnote w:id="5">
    <w:p w14:paraId="59443A7D" w14:textId="77777777" w:rsidR="002104DD" w:rsidRPr="001C1DF0" w:rsidRDefault="002104DD" w:rsidP="002104DD">
      <w:pPr>
        <w:pStyle w:val="FootnoteText"/>
        <w:rPr>
          <w:lang w:val="en-AU"/>
        </w:rPr>
      </w:pPr>
      <w:r>
        <w:rPr>
          <w:rStyle w:val="FootnoteReference"/>
        </w:rPr>
        <w:footnoteRef/>
      </w:r>
      <w:r>
        <w:t xml:space="preserve"> </w:t>
      </w:r>
      <w:r>
        <w:fldChar w:fldCharType="begin"/>
      </w:r>
      <w:r>
        <w:instrText xml:space="preserve"> ADDIN ZOTERO_ITEM CSL_CITATION {"citationID":"fRl0HMtE","properties":{"formattedCitation":"Miranda Kaye, \\uc0\\u8216{}The Increasing Demands on the Role of Children\\uc0\\u8217{}s Lawyers in Family Law Proceedings in Australia\\uc0\\u8217{} 2019(2) {\\i{}Child and Family Law Quarterly} 143.","plainCitation":"Miranda Kaye, ‘The Increasing Demands on the Role of Children’s Lawyers in Family Law Proceedings in Australia’ 2019(2) Child and Family Law Quarterly 143.","noteIndex":5},"citationItems":[{"id":689,"uris":["http://zotero.org/users/3989516/items/FF68AWJF"],"itemData":{"id":689,"type":"article-journal","container-title":"Child and Family Law Quarterly","issue":"2","page":"143","title":"The increasing demands on the role of children's lawyers in family law proceedings in Australia","volume":"2019","author":[{"family":"Kaye","given":"Miranda"}]}}],"schema":"https://github.com/citation-style-language/schema/raw/master/csl-citation.json"} </w:instrText>
      </w:r>
      <w:r>
        <w:fldChar w:fldCharType="separate"/>
      </w:r>
      <w:r w:rsidRPr="001C1DF0">
        <w:rPr>
          <w:rFonts w:ascii="Calibri" w:hAnsi="Calibri" w:cs="Calibri"/>
          <w:szCs w:val="24"/>
        </w:rPr>
        <w:t xml:space="preserve">Miranda Kaye, ‘The Increasing Demands on the Role of Children’s Lawyers in Family Law Proceedings in Australia’ 2019(2) </w:t>
      </w:r>
      <w:r w:rsidRPr="001C1DF0">
        <w:rPr>
          <w:rFonts w:ascii="Calibri" w:hAnsi="Calibri" w:cs="Calibri"/>
          <w:i/>
          <w:iCs/>
          <w:szCs w:val="24"/>
        </w:rPr>
        <w:t>Child and Family Law Quarterly</w:t>
      </w:r>
      <w:r w:rsidRPr="001C1DF0">
        <w:rPr>
          <w:rFonts w:ascii="Calibri" w:hAnsi="Calibri" w:cs="Calibri"/>
          <w:szCs w:val="24"/>
        </w:rPr>
        <w:t xml:space="preserve"> 143.</w:t>
      </w:r>
      <w:r>
        <w:fldChar w:fldCharType="end"/>
      </w:r>
    </w:p>
  </w:footnote>
  <w:footnote w:id="6">
    <w:p w14:paraId="3F66B036" w14:textId="4BEF70D6" w:rsidR="00487E60" w:rsidRDefault="00487E60">
      <w:pPr>
        <w:pStyle w:val="FootnoteText"/>
      </w:pPr>
      <w:r>
        <w:rPr>
          <w:rStyle w:val="FootnoteReference"/>
        </w:rPr>
        <w:footnoteRef/>
      </w:r>
      <w:r>
        <w:t xml:space="preserve"> </w:t>
      </w:r>
      <w:r>
        <w:fldChar w:fldCharType="begin"/>
      </w:r>
      <w:r>
        <w:instrText xml:space="preserve"> ADDIN ZOTERO_ITEM CSL_CITATION {"citationID":"OIXQOmIf","properties":{"formattedCitation":"Annabelle Gray and Miranda Kaye, \\uc0\\u8216{}Redressing the Balance: How Australia\\uc0\\u8217{}s Approach under the Hague Abduction Convention Is Still Endangering Victims of Domestic Violence\\uc0\\u8217{} (2023) 37(1) {\\i{}International Journal of Law, Policy and the Family} ebac021 (\\uc0\\u8216{}Redressing the Balance\\uc0\\u8217{}).","plainCitation":"Annabelle Gray and Miranda Kaye, ‘Redressing the Balance: How Australia’s Approach under the Hague Abduction Convention Is Still Endangering Victims of Domestic Violence’ (2023) 37(1) International Journal of Law, Policy and the Family ebac021 (‘Redressing the Balance’).","noteIndex":6},"citationItems":[{"id":7324,"uris":["http://zotero.org/users/3989516/items/IIWWQ7VY"],"itemData":{"id":7324,"type":"article-journal","abstract":"This article explores how Australian courts consider allegations of domestic violence under Article 13(1)(b) of the Hague Convention on Child Abduction. As is now well known, there has been a paradigm shift since the Convention’s introduction, which has seen the circumstances and underlying reasons for international child abduction change. Through an examination of Australian case law from the past 5 years, this article reveals the issues that taking mothers continue to face in Australian return proceedings and the concerning reality that the courts continue to prioritise a prompt return over the safety and well-being of women and children exposed to domestic violence. This is despite feminist legal scholars and activists demonstrating for over 20 years that domestic violence is not being adequately dealt with in return proceedings and calling for change. The article discusses how the huge inequality in legal representation for taking mothers and left-behind fathers adds to the imbalance in these matters. Unfortunately, the recent Hague Conference Guide to Good Practice in such cases is unlikely to affect any substantive change to redress that imbalance. Suggestions for ways to redress the balance between taking mothers and left-behind fathers are suggested.","container-title":"International Journal of Law, Policy and the Family","DOI":"10.1093/lawfam/ebac021","ISSN":"1464-3707","issue":"1","language":"en","page":"ebac021","source":"DOI.org (Crossref)","title":"Redressing the balance: how Australia’s approach under the Hague Abduction Convention is still endangering victims of domestic violence","title-short":"Redressing the balance","volume":"37","author":[{"family":"Gray","given":"Annabelle"},{"family":"Kaye","given":"Miranda"}],"issued":{"date-parts":[["2023",1,10]]}}}],"schema":"https://github.com/citation-style-language/schema/raw/master/csl-citation.json"} </w:instrText>
      </w:r>
      <w:r>
        <w:fldChar w:fldCharType="separate"/>
      </w:r>
      <w:r w:rsidRPr="00487E60">
        <w:rPr>
          <w:rFonts w:ascii="Calibri" w:hAnsi="Calibri" w:cs="Calibri"/>
          <w:szCs w:val="24"/>
        </w:rPr>
        <w:t xml:space="preserve">Annabelle Gray and Miranda Kaye, ‘Redressing the Balance: How Australia’s Approach under the Hague Abduction Convention Is Still Endangering Victims of Domestic Violence’ (2023) 37(1) </w:t>
      </w:r>
      <w:r w:rsidRPr="00487E60">
        <w:rPr>
          <w:rFonts w:ascii="Calibri" w:hAnsi="Calibri" w:cs="Calibri"/>
          <w:i/>
          <w:iCs/>
          <w:szCs w:val="24"/>
        </w:rPr>
        <w:t>International Journal of Law, Policy and the Family</w:t>
      </w:r>
      <w:r w:rsidRPr="00487E60">
        <w:rPr>
          <w:rFonts w:ascii="Calibri" w:hAnsi="Calibri" w:cs="Calibri"/>
          <w:szCs w:val="24"/>
        </w:rPr>
        <w:t xml:space="preserve"> ebac021.</w:t>
      </w:r>
      <w:r>
        <w:fldChar w:fldCharType="end"/>
      </w:r>
    </w:p>
  </w:footnote>
  <w:footnote w:id="7">
    <w:p w14:paraId="1BF922D7" w14:textId="77777777" w:rsidR="00642898" w:rsidRDefault="00642898" w:rsidP="00642898">
      <w:pPr>
        <w:pStyle w:val="FootnoteText"/>
      </w:pPr>
      <w:r>
        <w:rPr>
          <w:rStyle w:val="FootnoteReference"/>
        </w:rPr>
        <w:footnoteRef/>
      </w:r>
      <w:r>
        <w:t xml:space="preserve"> </w:t>
      </w:r>
      <w:r>
        <w:fldChar w:fldCharType="begin"/>
      </w:r>
      <w:r>
        <w:instrText xml:space="preserve"> ADDIN ZOTERO_ITEM CSL_CITATION {"citationID":"fsMxD5vH","properties":{"formattedCitation":"Michelle Fernando, \\uc0\\u8216{}Children\\uc0\\u8217{}s Objections in Hague Child Abduction Convention Proceedings in Australia and the \\uc0\\u8220{}Strength of Feeling\\uc0\\u8221{} Requirement\\uc0\\u8217{} (2022) 30(3) {\\i{}The International Journal of Children\\uc0\\u8217{}s Rights} 729, 747.","plainCitation":"Michelle Fernando, ‘Children’s Objections in Hague Child Abduction Convention Proceedings in Australia and the “Strength of Feeling” Requirement’ (2022) 30(3) The International Journal of Children’s Rights 729, 747.","noteIndex":6},"citationItems":[{"id":7543,"uris":["http://zotero.org/users/3989516/items/9FGPG98K"],"itemData":{"id":7543,"type":"article-journal","abstract":"Abstract The Hague Convention on the Civil Aspects of International Child Abduction creates an exception to the mandatory return of abducted children if the child objects to being returned to their country of habitual residence and has attained an age and degree of maturity at which it is appropriate to take account of their views. The Australian regulations also require that the child’s objection demonstrates a ‘strength of feeling beyond the mere expression of a preference or of ordinary wishes.’ This article examines this unique requirement and how it has been approached by the Family Court. It finds that many Australian judges treat the “strength of feeling” requirement as an additional hurdle that children must overcome before their objection can be taken into account. This approach is contrary to Australia’s international obligations under the Convention. A less restrictive approach, which some other judges follow, is recommended to ensure that the Convention’s primary objective of protecting children is met.","container-title":"The International Journal of Children's Rights","DOI":"10.1163/15718182-30030010","ISSN":"1571-8182, 0927-5568","issue":"3","language":"eng","note":"publisher: Brill","page":"729-754","source":"brill.com","title":"Children’s Objections in Hague Child Abduction Convention Proceedings in Australia and the “Strength of Feeling” Requirement","volume":"30","author":[{"family":"Fernando","given":"Michelle"}],"issued":{"date-parts":[["2022",8,22]]}},"locator":"747"}],"schema":"https://github.com/citation-style-language/schema/raw/master/csl-citation.json"} </w:instrText>
      </w:r>
      <w:r>
        <w:fldChar w:fldCharType="separate"/>
      </w:r>
      <w:r w:rsidRPr="00F43532">
        <w:rPr>
          <w:rFonts w:ascii="Calibri" w:hAnsi="Calibri" w:cs="Calibri"/>
          <w:szCs w:val="24"/>
        </w:rPr>
        <w:t xml:space="preserve">Michelle Fernando, ‘Children’s Objections in Hague Child Abduction Convention Proceedings in Australia and the “Strength of Feeling” Requirement’ (2022) 30(3) </w:t>
      </w:r>
      <w:r w:rsidRPr="00F43532">
        <w:rPr>
          <w:rFonts w:ascii="Calibri" w:hAnsi="Calibri" w:cs="Calibri"/>
          <w:i/>
          <w:iCs/>
          <w:szCs w:val="24"/>
        </w:rPr>
        <w:t>The International Journal of Children’s Rights</w:t>
      </w:r>
      <w:r w:rsidRPr="00F43532">
        <w:rPr>
          <w:rFonts w:ascii="Calibri" w:hAnsi="Calibri" w:cs="Calibri"/>
          <w:szCs w:val="24"/>
        </w:rPr>
        <w:t xml:space="preserve"> 729, 747.</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A5B3" w14:textId="77777777" w:rsidR="00081B43" w:rsidRDefault="000A2F96">
    <w:pPr>
      <w:pBdr>
        <w:top w:val="nil"/>
        <w:left w:val="nil"/>
        <w:bottom w:val="nil"/>
        <w:right w:val="nil"/>
        <w:between w:val="nil"/>
      </w:pBdr>
      <w:tabs>
        <w:tab w:val="center" w:pos="4513"/>
        <w:tab w:val="right" w:pos="9026"/>
      </w:tabs>
      <w:spacing w:line="240" w:lineRule="auto"/>
      <w:rPr>
        <w:rFonts w:ascii="Calibri" w:eastAsia="Calibri" w:hAnsi="Calibri" w:cs="Calibri"/>
        <w:color w:val="000000"/>
      </w:rPr>
    </w:pPr>
    <w:r>
      <w:rPr>
        <w:rFonts w:ascii="Calibri" w:eastAsia="Calibri" w:hAnsi="Calibri" w:cs="Calibri"/>
        <w:noProof/>
        <w:color w:val="000000"/>
      </w:rPr>
      <w:drawing>
        <wp:anchor distT="0" distB="0" distL="0" distR="0" simplePos="0" relativeHeight="251659264" behindDoc="1" locked="0" layoutInCell="1" hidden="0" allowOverlap="1" wp14:anchorId="6224501E" wp14:editId="26228104">
          <wp:simplePos x="0" y="0"/>
          <wp:positionH relativeFrom="page">
            <wp:posOffset>-12698</wp:posOffset>
          </wp:positionH>
          <wp:positionV relativeFrom="page">
            <wp:posOffset>-114297</wp:posOffset>
          </wp:positionV>
          <wp:extent cx="7848280" cy="11099709"/>
          <wp:effectExtent l="0" t="0" r="0" b="0"/>
          <wp:wrapNone/>
          <wp:docPr id="17"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a:stretch>
                    <a:fillRect/>
                  </a:stretch>
                </pic:blipFill>
                <pic:spPr>
                  <a:xfrm>
                    <a:off x="0" y="0"/>
                    <a:ext cx="7848280" cy="1109970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43"/>
    <w:rsid w:val="00010B40"/>
    <w:rsid w:val="00070421"/>
    <w:rsid w:val="00081B43"/>
    <w:rsid w:val="000A2F96"/>
    <w:rsid w:val="00103303"/>
    <w:rsid w:val="002104DD"/>
    <w:rsid w:val="0030297A"/>
    <w:rsid w:val="00396C2D"/>
    <w:rsid w:val="003E414A"/>
    <w:rsid w:val="003E4214"/>
    <w:rsid w:val="0041058B"/>
    <w:rsid w:val="00487E60"/>
    <w:rsid w:val="004B5328"/>
    <w:rsid w:val="004B7C16"/>
    <w:rsid w:val="004E12B8"/>
    <w:rsid w:val="005402E4"/>
    <w:rsid w:val="005851F0"/>
    <w:rsid w:val="00594B81"/>
    <w:rsid w:val="005B7081"/>
    <w:rsid w:val="005F1C22"/>
    <w:rsid w:val="00642898"/>
    <w:rsid w:val="00693851"/>
    <w:rsid w:val="006B4EC8"/>
    <w:rsid w:val="006C34F6"/>
    <w:rsid w:val="006D247E"/>
    <w:rsid w:val="00700D30"/>
    <w:rsid w:val="00706E93"/>
    <w:rsid w:val="0077208C"/>
    <w:rsid w:val="007A0EE4"/>
    <w:rsid w:val="00854754"/>
    <w:rsid w:val="008B6A27"/>
    <w:rsid w:val="009B5956"/>
    <w:rsid w:val="009D7A0D"/>
    <w:rsid w:val="00A7328B"/>
    <w:rsid w:val="00A84E31"/>
    <w:rsid w:val="00AD6CE2"/>
    <w:rsid w:val="00B2317B"/>
    <w:rsid w:val="00B24685"/>
    <w:rsid w:val="00B53D4E"/>
    <w:rsid w:val="00B54724"/>
    <w:rsid w:val="00B5683F"/>
    <w:rsid w:val="00B94A91"/>
    <w:rsid w:val="00BA276F"/>
    <w:rsid w:val="00BE002D"/>
    <w:rsid w:val="00D86119"/>
    <w:rsid w:val="00DD2D9E"/>
    <w:rsid w:val="00E73AA0"/>
    <w:rsid w:val="00E81106"/>
    <w:rsid w:val="00EA6A73"/>
    <w:rsid w:val="00F261B8"/>
    <w:rsid w:val="00F31079"/>
    <w:rsid w:val="00F43532"/>
    <w:rsid w:val="00FA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56D9"/>
  <w15:docId w15:val="{2A5180C9-4906-984F-9EAF-04EC2EA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Header">
    <w:name w:val="header"/>
    <w:basedOn w:val="Normal"/>
    <w:link w:val="HeaderChar"/>
    <w:uiPriority w:val="99"/>
    <w:unhideWhenUsed/>
    <w:rsid w:val="009F39D8"/>
    <w:pPr>
      <w:tabs>
        <w:tab w:val="center" w:pos="4513"/>
        <w:tab w:val="right" w:pos="9026"/>
      </w:tabs>
      <w:spacing w:line="240" w:lineRule="auto"/>
    </w:pPr>
  </w:style>
  <w:style w:type="character" w:customStyle="1" w:styleId="HeaderChar">
    <w:name w:val="Header Char"/>
    <w:basedOn w:val="DefaultParagraphFont"/>
    <w:link w:val="Header"/>
    <w:uiPriority w:val="99"/>
    <w:rsid w:val="009F39D8"/>
  </w:style>
  <w:style w:type="paragraph" w:styleId="Footer">
    <w:name w:val="footer"/>
    <w:basedOn w:val="Normal"/>
    <w:link w:val="FooterChar"/>
    <w:uiPriority w:val="99"/>
    <w:unhideWhenUsed/>
    <w:rsid w:val="009F39D8"/>
    <w:pPr>
      <w:tabs>
        <w:tab w:val="center" w:pos="4513"/>
        <w:tab w:val="right" w:pos="9026"/>
      </w:tabs>
      <w:spacing w:line="240" w:lineRule="auto"/>
    </w:pPr>
  </w:style>
  <w:style w:type="character" w:customStyle="1" w:styleId="FooterChar">
    <w:name w:val="Footer Char"/>
    <w:basedOn w:val="DefaultParagraphFont"/>
    <w:link w:val="Footer"/>
    <w:uiPriority w:val="99"/>
    <w:rsid w:val="009F39D8"/>
  </w:style>
  <w:style w:type="paragraph" w:customStyle="1" w:styleId="pf0">
    <w:name w:val="pf0"/>
    <w:basedOn w:val="Normal"/>
    <w:rsid w:val="00324D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24DF4"/>
    <w:rPr>
      <w:rFonts w:ascii="Segoe UI" w:hAnsi="Segoe UI" w:cs="Segoe UI" w:hint="default"/>
      <w:sz w:val="18"/>
      <w:szCs w:val="18"/>
    </w:rPr>
  </w:style>
  <w:style w:type="paragraph" w:styleId="NormalWeb">
    <w:name w:val="Normal (Web)"/>
    <w:basedOn w:val="Normal"/>
    <w:uiPriority w:val="99"/>
    <w:unhideWhenUsed/>
    <w:rsid w:val="00324D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937F4"/>
    <w:pPr>
      <w:ind w:left="720"/>
      <w:contextualSpacing/>
    </w:pPr>
  </w:style>
  <w:style w:type="table" w:styleId="TableGrid">
    <w:name w:val="Table Grid"/>
    <w:basedOn w:val="TableNormal"/>
    <w:uiPriority w:val="39"/>
    <w:rsid w:val="00F26E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104DD"/>
    <w:rPr>
      <w:color w:val="0563C1" w:themeColor="hyperlink"/>
      <w:u w:val="single"/>
    </w:rPr>
  </w:style>
  <w:style w:type="paragraph" w:styleId="FootnoteText">
    <w:name w:val="footnote text"/>
    <w:basedOn w:val="Normal"/>
    <w:link w:val="FootnoteTextChar"/>
    <w:uiPriority w:val="99"/>
    <w:semiHidden/>
    <w:unhideWhenUsed/>
    <w:rsid w:val="002104DD"/>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2104DD"/>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2104DD"/>
    <w:rPr>
      <w:vertAlign w:val="superscript"/>
    </w:rPr>
  </w:style>
  <w:style w:type="paragraph" w:customStyle="1" w:styleId="Default">
    <w:name w:val="Default"/>
    <w:rsid w:val="005851F0"/>
    <w:pPr>
      <w:autoSpaceDE w:val="0"/>
      <w:autoSpaceDN w:val="0"/>
      <w:adjustRightInd w:val="0"/>
      <w:spacing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anda.kaye@uts.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SM2JL+Bjt05iK5pbMGmTjougYg==">CgMxLjA4AHIhMXlmUFFWc3FGbjlrX1V5QkkyTWJYWDNJVVpGWEJZM3hi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Price</dc:creator>
  <cp:lastModifiedBy>Microsoft Office User</cp:lastModifiedBy>
  <cp:revision>2</cp:revision>
  <dcterms:created xsi:type="dcterms:W3CDTF">2023-06-23T09:43:00Z</dcterms:created>
  <dcterms:modified xsi:type="dcterms:W3CDTF">2023-06-23T09:43:00Z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2023-06-22T11:44:36Z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5d2f4668-8ad7-4bf7-9ef2-c82d98ad7e3a</vt:lpwstr>
  </property>
  <property fmtid="{D5CDD505-2E9C-101B-9397-08002B2CF9AE}" pid="8" name="MSIP_Label_51a6c3db-1667-4f49-995a-8b9973972958_ContentBits">
    <vt:lpwstr>0</vt:lpwstr>
  </property>
  <property fmtid="{D5CDD505-2E9C-101B-9397-08002B2CF9AE}" pid="9" name="ZOTERO_PREF_1">
    <vt:lpwstr>&lt;data data-version="3" zotero-version="6.0.6"&gt;&lt;session id="811dbQHV"/&gt;&lt;style id="http://www.zotero.org/styles/australian-guide-to-legal-citation" hasBibliography="1" bibliographyStyleHasBeenSet="0"/&gt;&lt;prefs&gt;&lt;pref name="fieldType" value="Field"/&gt;&lt;pref name=</vt:lpwstr>
  </property>
  <property fmtid="{D5CDD505-2E9C-101B-9397-08002B2CF9AE}" pid="10" name="ZOTERO_PREF_2">
    <vt:lpwstr>"noteType" value="1"/&gt;&lt;/prefs&gt;&lt;/data&gt;</vt:lpwstr>
  </property>
</Properties>
</file>